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jc w:val="center"/>
      </w:pPr>
      <w:r>
        <w:rPr>
          <w:b/>
          <w:bCs/>
          <w:sz w:val="28"/>
          <w:szCs w:val="28"/>
        </w:rPr>
        <w:t xml:space="preserve">ЛИЦЕНЗИОННЫЙ ДОГОВОР № ____</w:t>
      </w:r>
    </w:p>
    <w:p>
      <w:pPr>
        <w:spacing w:after="200"/>
        <w:jc w:val="center"/>
      </w:pPr>
      <w:r>
        <w:rPr>
          <w:i/>
          <w:iCs/>
        </w:rPr>
        <w:t xml:space="preserve">о предоставлении права использования программного обеспечения «PokerBot Online»</w:t>
      </w:r>
    </w:p>
    <w:tbl>
      <w:tblPr>
        <w:tblW w:type="dxa" w:w="9355"/>
        <w:tblBorders>
          <w:top w:val="none" w:color="FFFFFF" w:sz="0"/>
          <w:left w:val="none" w:color="FFFFFF" w:sz="0"/>
          <w:bottom w:val="none" w:color="FFFFFF" w:sz="0"/>
          <w:right w:val="none" w:color="FFFFFF" w:sz="0"/>
          <w:insideH w:val="none" w:color="FFFFFF" w:sz="0"/>
          <w:insideV w:val="none" w:color="FFFFFF" w:sz="0"/>
        </w:tblBorders>
      </w:tblPr>
      <w:tblGrid>
        <w:gridCol w:w="4677"/>
        <w:gridCol w:w="4678"/>
      </w:tblGrid>
      <w:tr>
        <w:tc>
          <w:tcPr>
            <w:tcW w:type="dxa" w:w="4677"/>
            <w:tcBorders>
              <w:top w:val="none" w:color="FFFFFF" w:sz="0"/>
              <w:left w:val="none" w:color="FFFFFF" w:sz="0"/>
              <w:bottom w:val="none" w:color="FFFFFF" w:sz="0"/>
              <w:right w:val="none" w:color="FFFFFF" w:sz="0"/>
            </w:tcBorders>
          </w:tcPr>
          <w:p>
            <w:pPr>
              <w:jc w:val="left"/>
            </w:pPr>
            <w:r>
              <w:t xml:space="preserve">г. ____________________</w:t>
            </w:r>
          </w:p>
        </w:tc>
        <w:tc>
          <w:tcPr>
            <w:tcW w:type="dxa" w:w="4678"/>
            <w:tcBorders>
              <w:top w:val="none" w:color="FFFFFF" w:sz="0"/>
              <w:left w:val="none" w:color="FFFFFF" w:sz="0"/>
              <w:bottom w:val="none" w:color="FFFFFF" w:sz="0"/>
              <w:right w:val="none" w:color="FFFFFF" w:sz="0"/>
            </w:tcBorders>
          </w:tcPr>
          <w:p>
            <w:pPr>
              <w:jc w:val="right"/>
            </w:pPr>
            <w:r>
              <w:t xml:space="preserve">«____» ________________ 20___ г.</w:t>
            </w:r>
          </w:p>
        </w:tc>
      </w:tr>
    </w:tbl>
    <w:p>
      <w:pPr>
        <w:spacing w:after="120"/>
      </w:pPr>
    </w:p>
    <w:p>
      <w:pPr>
        <w:spacing w:after="90" w:line="276"/>
        <w:jc w:val="both"/>
      </w:pPr>
      <w:r>
        <w:rPr>
          <w:b/>
          <w:bCs/>
        </w:rPr>
        <w:t xml:space="preserve">Индивидуальный предприниматель Давыдов Сергей Сергеевич</w:t>
      </w:r>
      <w:r>
        <w:rPr>
          <w:b w:val="false"/>
          <w:bCs w:val="false"/>
        </w:rPr>
        <w:t xml:space="preserve"> (ОГРНИП 319112100012301, ИНН 110121285409), именуемый в дальнейшем </w:t>
      </w:r>
      <w:r>
        <w:rPr>
          <w:b/>
          <w:bCs/>
        </w:rPr>
        <w:t xml:space="preserve">«Лицензиар»</w:t>
      </w:r>
      <w:r>
        <w:rPr>
          <w:b w:val="false"/>
          <w:bCs w:val="false"/>
        </w:rPr>
        <w:t xml:space="preserve">, с одной стороны, и</w:t>
      </w:r>
    </w:p>
    <w:p>
      <w:pPr>
        <w:spacing w:after="90" w:line="276"/>
        <w:jc w:val="both"/>
      </w:pPr>
      <w:r>
        <w:rPr>
          <w:b/>
          <w:bCs/>
        </w:rPr>
        <w:t xml:space="preserve">____________________________________</w:t>
      </w:r>
      <w:r>
        <w:rPr>
          <w:b w:val="false"/>
          <w:bCs w:val="false"/>
        </w:rPr>
        <w:t xml:space="preserve"> (ОГРН/ОГРНИП ____________________, ИНН ____________________), именуемое (-ый) в дальнейшем </w:t>
      </w:r>
      <w:r>
        <w:rPr>
          <w:b/>
          <w:bCs/>
        </w:rPr>
        <w:t xml:space="preserve">«Лицензиат»</w:t>
      </w:r>
      <w:r>
        <w:rPr>
          <w:b w:val="false"/>
          <w:bCs w:val="false"/>
        </w:rPr>
        <w:t xml:space="preserve">, в лице ____________________________, действующего на основании ____________________, с другой стороны,</w:t>
      </w:r>
    </w:p>
    <w:p>
      <w:pPr>
        <w:spacing w:after="90" w:line="276"/>
        <w:jc w:val="both"/>
      </w:pPr>
      <w:r>
        <w:rPr>
          <w:b w:val="false"/>
          <w:bCs w:val="false"/>
        </w:rPr>
        <w:t xml:space="preserve">вместе именуемые </w:t>
      </w:r>
      <w:r>
        <w:rPr>
          <w:b/>
          <w:bCs/>
        </w:rPr>
        <w:t xml:space="preserve">«Стороны»</w:t>
      </w:r>
      <w:r>
        <w:rPr>
          <w:b w:val="false"/>
          <w:bCs w:val="false"/>
        </w:rPr>
        <w:t xml:space="preserve">, а по отдельности — </w:t>
      </w:r>
      <w:r>
        <w:rPr>
          <w:b/>
          <w:bCs/>
        </w:rPr>
        <w:t xml:space="preserve">«Сторона»</w:t>
      </w:r>
      <w:r>
        <w:rPr>
          <w:b w:val="false"/>
          <w:bCs w:val="false"/>
        </w:rPr>
        <w:t xml:space="preserve">, принимая во внимание, что программное обеспечение «PokerBot Online» предназначено для использования клубами спортивного покера в целях организации и проведения турниров по спортивному покеру </w:t>
      </w:r>
      <w:r>
        <w:rPr>
          <w:b/>
          <w:bCs/>
        </w:rPr>
        <w:t xml:space="preserve">без денежных ставок, игры на реальные деньги и выплаты денежных выигрышей</w:t>
      </w:r>
      <w:r>
        <w:rPr>
          <w:b w:val="false"/>
          <w:bCs w:val="false"/>
        </w:rPr>
        <w:t xml:space="preserve"> и не является средством организации и проведения азартных игр, заключили настоящий лицензионный договор (далее — </w:t>
      </w:r>
      <w:r>
        <w:rPr>
          <w:b/>
          <w:bCs/>
        </w:rPr>
        <w:t xml:space="preserve">«Договор»</w:t>
      </w:r>
      <w:r>
        <w:rPr>
          <w:b w:val="false"/>
          <w:bCs w:val="false"/>
        </w:rPr>
        <w:t xml:space="preserve">) в соответствии с законодательством Российской Федерации о нижеследующем:</w:t>
      </w:r>
    </w:p>
    <w:p>
      <w:pPr>
        <w:keepNext/>
        <w:spacing w:after="110" w:before="240"/>
      </w:pPr>
      <w:r>
        <w:rPr>
          <w:b/>
          <w:bCs/>
        </w:rPr>
        <w:t xml:space="preserve">1. ТЕРМИНЫ И ОПРЕДЕЛЕНИЯ</w:t>
      </w:r>
    </w:p>
    <w:p>
      <w:pPr>
        <w:spacing w:after="90" w:line="276"/>
        <w:jc w:val="both"/>
      </w:pPr>
      <w:r>
        <w:t xml:space="preserve">1.1. Программное обеспечение (ПО) — программный комплекс «PokerBot Online», представляющий собой облачную (предоставляемую по модели удалённого доступа) систему для организации и проведения турниров по спортивному покеру и управления деятельностью клуба, включающую, в частности, следующий функционал: запись игроков на турниры (через Telegram, сайт, мессенджеры) и лист ожидания; таймер блайндов с шаблонами структур, перерывами, поздней регистрацией, поддержкой ребаев и аддонов; визуальную рассадку и пересадку игроков по столам; систему рейтингов, сезонов и статистики; учёт оплат, балансов, долгов и штрафов; реферальную систему, ваучеры, бонусы и достижения; журнал действий (аудит); настройку ролей сотрудников, а также иные функции, доступные в интерфейсе ПО.</w:t>
      </w:r>
    </w:p>
    <w:p>
      <w:pPr>
        <w:spacing w:after="90" w:line="276"/>
        <w:jc w:val="both"/>
      </w:pPr>
      <w:r>
        <w:t xml:space="preserve">1.2. Лицензия — предоставляемое Лицензиату по Договору право использования ПО на условиях простой (неисключительной) лицензии в пределах и способами, предусмотренными Договором.</w:t>
      </w:r>
    </w:p>
    <w:p>
      <w:pPr>
        <w:spacing w:after="90" w:line="276"/>
        <w:jc w:val="both"/>
      </w:pPr>
      <w:r>
        <w:t xml:space="preserve">1.3. Экземпляр ПО — настроенная и брендированная под Лицензиата рабочая копия ПО, размещённая на серверных мощностях Лицензиара и доступная Лицензиату, его сотрудникам и игрокам через сеть «Интернет», в том числе посредством Telegram-бота и/или веб-интерфейса.</w:t>
      </w:r>
    </w:p>
    <w:p>
      <w:pPr>
        <w:spacing w:after="90" w:line="276"/>
        <w:jc w:val="both"/>
      </w:pPr>
      <w:r>
        <w:t xml:space="preserve">1.4. Удалённый доступ (модель SaaS) — способ предоставления доступа к ПО через сеть «Интернет» без передачи Лицензиату экземпляра ПО на материальном носителе, без передачи исходного кода и без установки ПО на оборудование Лицензиата.</w:t>
      </w:r>
    </w:p>
    <w:p>
      <w:pPr>
        <w:spacing w:after="90" w:line="276"/>
        <w:jc w:val="both"/>
      </w:pPr>
      <w:r>
        <w:t xml:space="preserve">1.5. Внедрение (Запуск) — комплекс действий Лицензиара по настройке, брендированию и запуску Экземпляра ПО под Лицензиата (настройка под бизнес-процессы, брендирование, настройка Telegram-бота, перенос данных, обучение сотрудников).</w:t>
      </w:r>
    </w:p>
    <w:p>
      <w:pPr>
        <w:spacing w:after="90" w:line="276"/>
        <w:jc w:val="both"/>
      </w:pPr>
      <w:r>
        <w:t xml:space="preserve">1.6. Расчётный (лицензионный) период — период, за который уплачивается вознаграждение, равный одному календарному месяцу, если иное прямо не следует из Договора. Первый Расчётный период исчисляется с даты Запуска ПО.</w:t>
      </w:r>
    </w:p>
    <w:p>
      <w:pPr>
        <w:spacing w:after="90" w:line="276"/>
        <w:jc w:val="both"/>
      </w:pPr>
      <w:r>
        <w:t xml:space="preserve">1.7. Обновление — модификация ПО, изменяющая его функциональные возможности и/или устраняющая ошибки, выпускаемая Лицензиаром.</w:t>
      </w:r>
    </w:p>
    <w:p>
      <w:pPr>
        <w:spacing w:after="90" w:line="276"/>
        <w:jc w:val="both"/>
      </w:pPr>
      <w:r>
        <w:t xml:space="preserve">1.8. Техническая поддержка — консультирование Лицензиата по вопросам эксплуатации ПО и устранение сбоев в работе ПО в Рабочее время посредством мессенджера Telegram и/или иных согласованных Сторонами каналов связи.</w:t>
      </w:r>
    </w:p>
    <w:p>
      <w:pPr>
        <w:spacing w:after="90" w:line="276"/>
        <w:jc w:val="both"/>
      </w:pPr>
      <w:r>
        <w:t xml:space="preserve">1.9. Рабочее время — период с 10:00 до 19:00 по московскому времени (МСК) в рабочие дни. Рабочими днями признаются дни, являющиеся рабочими в соответствии с законодательством Российской Федерации (за исключением выходных и нерабочих праздничных дней).</w:t>
      </w:r>
    </w:p>
    <w:p>
      <w:pPr>
        <w:keepNext/>
        <w:spacing w:after="110" w:before="240"/>
      </w:pPr>
      <w:r>
        <w:rPr>
          <w:b/>
          <w:bCs/>
        </w:rPr>
        <w:t xml:space="preserve">2. ПРЕДМЕТ ДОГОВОРА</w:t>
      </w:r>
    </w:p>
    <w:p>
      <w:pPr>
        <w:spacing w:after="90" w:line="276"/>
        <w:jc w:val="both"/>
      </w:pPr>
      <w:r>
        <w:t xml:space="preserve">2.1. Лицензиар обязуется предоставить Лицензиату право использования ПО на условиях простой (неисключительной) лицензии, осуществить Внедрение и сопровождение ПО, а Лицензиат обязуется принять и оплатить их в размере, порядке и сроки, установленные разделом 4 Договора.</w:t>
      </w:r>
    </w:p>
    <w:p>
      <w:pPr>
        <w:spacing w:after="90" w:line="276"/>
        <w:jc w:val="both"/>
      </w:pPr>
      <w:r>
        <w:t xml:space="preserve">2.2. ПО предоставляется по модели удалённого доступа (SaaS). Передача Лицензиату экземпляра ПО на материальном носителе, исходного кода ПО, равно как и установка ПО на оборудование Лицензиата, не производятся и предметом Договора не являются.</w:t>
      </w:r>
    </w:p>
    <w:p>
      <w:pPr>
        <w:spacing w:after="90" w:line="276"/>
        <w:jc w:val="both"/>
      </w:pPr>
      <w:r>
        <w:t xml:space="preserve">2.3. Право использования ПО предоставляется для собственных нужд Лицензиата — организации и проведения турниров и управления деятельностью до 5 (пяти) филиалов (клубов) спортивного покера Лицензиата, включая ввод, обработку, хранение и выгрузку данных средствами ПО. Использование ПО для большего количества филиалов (клубов) допускается при приобретении соответствующей дополнительной лицензии (расширения) на условиях, действующих у Лицензиара (пп. 4.4.1–4.4.2).</w:t>
      </w:r>
    </w:p>
    <w:p>
      <w:pPr>
        <w:spacing w:after="90" w:line="276"/>
        <w:jc w:val="both"/>
      </w:pPr>
      <w:r>
        <w:t xml:space="preserve">2.4. Территория использования ПО — без ограничения по территории. Срок, на который предоставляется Лицензия, — в пределах срока действия Договора (срока активной подписки).</w:t>
      </w:r>
    </w:p>
    <w:p>
      <w:pPr>
        <w:spacing w:after="90" w:line="276"/>
        <w:jc w:val="both"/>
      </w:pPr>
      <w:r>
        <w:t xml:space="preserve">2.5. Исключительное право на ПО, включая все его компоненты, обновления и доработки, принадлежит Лицензиару и/или иным правообладателям. Договор не влечёт отчуждения (передачи) Лицензиату исключительного права на ПО либо его части.</w:t>
      </w:r>
    </w:p>
    <w:p>
      <w:pPr>
        <w:spacing w:after="90" w:line="276"/>
        <w:jc w:val="both"/>
      </w:pPr>
      <w:r>
        <w:t xml:space="preserve">2.6. Право использования ПО считается предоставленным Лицензиату с момента предоставления Лицензиаром доступа к Экземпляру ПО (Запуска).</w:t>
      </w:r>
    </w:p>
    <w:p>
      <w:pPr>
        <w:spacing w:after="90" w:line="276"/>
        <w:jc w:val="both"/>
      </w:pPr>
      <w:r>
        <w:t xml:space="preserve">2.7. Договор является смешанным и содержит элементы лицензионного договора и договора возмездного оказания услуг (п. 3 ст. 421 Гражданского кодекса Российской Федерации). При этом основной целью Договора является предоставление Лицензиату права использования ПО.</w:t>
      </w:r>
    </w:p>
    <w:p>
      <w:pPr>
        <w:spacing w:after="90" w:line="276"/>
        <w:jc w:val="both"/>
      </w:pPr>
      <w:r>
        <w:t xml:space="preserve">2.8. Использование ПО допускается сотрудниками и игроками филиалов (клубов) Лицензиата в пределах количества филиалов, на которое предоставлена Лицензия (п. 2.3). Увеличение количества филиалов (клубов), а равно подключение любых дополнительных лицензий, опций, модулей, интеграций и расширений функционала, осуществляется на основании соответствующей дополнительной лицензии (расширения) и оплачивается по действующему прайс-листу Лицензиара (пп. 4.4.1–4.4.2).</w:t>
      </w:r>
    </w:p>
    <w:p>
      <w:pPr>
        <w:keepNext/>
        <w:spacing w:after="110" w:before="240"/>
      </w:pPr>
      <w:r>
        <w:rPr>
          <w:b/>
          <w:bCs/>
        </w:rPr>
        <w:t xml:space="preserve">3. ПОРЯДОК ВНЕДРЕНИЯ И ПРЕДОСТАВЛЕНИЯ ДОСТУПА</w:t>
      </w:r>
    </w:p>
    <w:p>
      <w:pPr>
        <w:spacing w:after="90" w:line="276"/>
        <w:jc w:val="both"/>
      </w:pPr>
      <w:r>
        <w:t xml:space="preserve">3.1. Внедрение включает: настройку ПО под бизнес-процессы Лицензиата; брендирование (логотип, наименование, фирменные цвета); настройку Telegram-бота; перенос имеющихся данных (при наличии и технической возможности); обучение сотрудников Лицензиата; настройку доступных параметров и конфигурации ПО без создания нового функционала, если иное отдельно не согласовано Сторонами.</w:t>
      </w:r>
    </w:p>
    <w:p>
      <w:pPr>
        <w:spacing w:after="90" w:line="276"/>
        <w:jc w:val="both"/>
      </w:pPr>
      <w:r>
        <w:t xml:space="preserve">3.2. Запуск ПО осуществляется Лицензиаром в течение 1 (одного) рабочего дня с даты, когда одновременно выполнены следующие условия: (а) поступление предоплаты, предусмотренной п. 4.2.1 Договора; и (б) предоставление Лицензиатом всех необходимых для Запуска сведений и материалов (наименование и реквизиты клуба, логотип, фирменные цвета, контактные данные, структура турниров и иные запрошенные Лицензиаром данные).</w:t>
      </w:r>
    </w:p>
    <w:p>
      <w:pPr>
        <w:spacing w:after="90" w:line="276"/>
        <w:jc w:val="both"/>
      </w:pPr>
      <w:r>
        <w:t xml:space="preserve">3.3. Предоставление доступа осуществляется путём передачи Лицензиату ссылок и/или учётных данных для доступа к Экземпляру ПО и Telegram-боту. Факт и дата Запуска подтверждаются уведомлением Лицензиара, направленным Лицензиату по адресу электронной почты или в мессенджере, указанным в Договоре.</w:t>
      </w:r>
    </w:p>
    <w:p>
      <w:pPr>
        <w:spacing w:after="90" w:line="276"/>
        <w:jc w:val="both"/>
      </w:pPr>
      <w:r>
        <w:t xml:space="preserve">3.4. Стороны вправе оформлять предоставление права использования ПО и оказанные услуги актами. Если в течение 5 (пяти) рабочих дней с даты направления акта (либо с даты Запуска — при неоформлении акта) Лицензиат не направит мотивированных письменных возражений, право использования ПО считается предоставленным, а услуги — оказанными надлежащим образом и принятыми Лицензиатом.</w:t>
      </w:r>
    </w:p>
    <w:p>
      <w:pPr>
        <w:keepNext/>
        <w:spacing w:after="110" w:before="240"/>
      </w:pPr>
      <w:r>
        <w:rPr>
          <w:b/>
          <w:bCs/>
        </w:rPr>
        <w:t xml:space="preserve">4. ВОЗНАГРАЖДЕНИЕ И ПОРЯДОК РАСЧЁТОВ</w:t>
      </w:r>
    </w:p>
    <w:p>
      <w:pPr>
        <w:spacing w:after="90" w:line="276"/>
        <w:jc w:val="both"/>
      </w:pPr>
      <w:r>
        <w:t xml:space="preserve">4.1. Вознаграждение Лицензиара по Договору включает: (1) единовременную плату за Внедрение и предоставление права использования ПО в первом Расчётном периоде; (2) ежемесячное лицензионное вознаграждение (абонентскую плату) за предоставление права использования ПО и сопровождение начиная со второго Расчётного периода.</w:t>
      </w:r>
    </w:p>
    <w:p>
      <w:pPr>
        <w:spacing w:after="90" w:line="276"/>
        <w:jc w:val="both"/>
      </w:pPr>
      <w:r>
        <w:rPr>
          <w:b w:val="false"/>
          <w:bCs w:val="false"/>
        </w:rPr>
        <w:t xml:space="preserve">4.2. Вознаграждение за первый Расчётный период составляет </w:t>
      </w:r>
      <w:r>
        <w:rPr>
          <w:b/>
          <w:bCs/>
        </w:rPr>
        <w:t xml:space="preserve">40 000 (Сорок тысяч) рублей 00 копеек</w:t>
      </w:r>
      <w:r>
        <w:rPr>
          <w:b w:val="false"/>
          <w:bCs w:val="false"/>
        </w:rPr>
        <w:t xml:space="preserve"> и уплачивается в два этапа:</w:t>
      </w:r>
    </w:p>
    <w:p>
      <w:pPr>
        <w:spacing w:after="90" w:line="276"/>
        <w:ind w:left="454"/>
        <w:jc w:val="both"/>
      </w:pPr>
      <w:r>
        <w:t xml:space="preserve">4.2.1. 20 000 (Двадцать тысяч) рублей 00 копеек — в порядке предоплаты, в течение 3 (трёх) банковских дней с даты выставления счёта и до начала Внедрения;</w:t>
      </w:r>
    </w:p>
    <w:p>
      <w:pPr>
        <w:spacing w:after="90" w:line="276"/>
        <w:ind w:left="454"/>
        <w:jc w:val="both"/>
      </w:pPr>
      <w:r>
        <w:t xml:space="preserve">4.2.2. 20 000 (Двадцать тысяч) рублей 00 копеек — в течение 3 (трёх) банковских дней с даты Запуска ПО.</w:t>
      </w:r>
    </w:p>
    <w:p>
      <w:pPr>
        <w:spacing w:after="90" w:line="276"/>
        <w:jc w:val="both"/>
      </w:pPr>
      <w:r>
        <w:rPr>
          <w:b w:val="false"/>
          <w:bCs w:val="false"/>
        </w:rPr>
        <w:t xml:space="preserve">4.3. Начиная со второго Расчётного периода лицензионное вознаграждение (абонентская плата) составляет </w:t>
      </w:r>
      <w:r>
        <w:rPr>
          <w:b/>
          <w:bCs/>
        </w:rPr>
        <w:t xml:space="preserve">15 000 (Пятнадцать тысяч) рублей 00 копеек</w:t>
      </w:r>
      <w:r>
        <w:rPr>
          <w:b w:val="false"/>
          <w:bCs w:val="false"/>
        </w:rPr>
        <w:t xml:space="preserve"> за каждый Расчётный период (календарный месяц) и уплачивается авансом (предоплатой) до начала оплачиваемого Расчётного периода на основании счёта.</w:t>
      </w:r>
    </w:p>
    <w:p>
      <w:pPr>
        <w:spacing w:after="90" w:line="276"/>
        <w:jc w:val="both"/>
      </w:pPr>
      <w:r>
        <w:t xml:space="preserve">4.4. По отдельному согласованию Сторон Лицензиар может выполнять работы по доработке (индивидуальной модификации) ПО по заданию Лицензиата, выходящие за пределы Технической поддержки и стандартного функционала. Стоимость таких работ составляет 2 000 (Две тысячи) рублей за один час работы специалиста, если Стороны не согласуют иное. Такие работы выполняются на основании отдельно согласованного объёма и оплачиваются дополнительно к вознаграждению, указанному в пп. 4.2–4.3.</w:t>
      </w:r>
    </w:p>
    <w:p>
      <w:pPr>
        <w:spacing w:after="90" w:line="276"/>
        <w:ind w:left="454"/>
        <w:jc w:val="both"/>
      </w:pPr>
      <w:r>
        <w:t xml:space="preserve">4.4.1. По отдельному соглашению Сторон Лицензиату могут предоставляться дополнительные лицензии, опции, услуги и индивидуальные настройки ПО. Любые дополнительные лицензии, расширение количества филиалов (клубов), опции, модули, интеграции и расширения функционала оплачиваются дополнительно, помимо вознаграждения по пп. 4.2–4.3, по действующему прайс-листу Лицензиара либо на основании выставленного Лицензиаром счёта. Использование стандартной версии ПО со стандартным оформлением входит в стоимость лицензии.</w:t>
      </w:r>
    </w:p>
    <w:p>
      <w:pPr>
        <w:spacing w:after="90" w:line="276"/>
        <w:ind w:left="454"/>
        <w:jc w:val="both"/>
      </w:pPr>
      <w:r>
        <w:t xml:space="preserve">4.4.2. К дополнительным (платным) опциям и услугам относятся, в частности:</w:t>
      </w:r>
    </w:p>
    <w:p>
      <w:pPr>
        <w:spacing w:after="90" w:line="276"/>
        <w:ind w:left="454"/>
        <w:jc w:val="both"/>
      </w:pPr>
      <w:r>
        <w:t xml:space="preserve">— разработка индивидуального дизайна (оформления) интерфейса ПО и/или мобильного приложения;</w:t>
      </w:r>
    </w:p>
    <w:p>
      <w:pPr>
        <w:spacing w:after="90" w:line="276"/>
        <w:ind w:left="454"/>
        <w:jc w:val="both"/>
      </w:pPr>
      <w:r>
        <w:t xml:space="preserve">— брендирование мобильного приложения Лицензиата;</w:t>
      </w:r>
    </w:p>
    <w:p>
      <w:pPr>
        <w:spacing w:after="90" w:line="276"/>
        <w:ind w:left="454"/>
        <w:jc w:val="both"/>
      </w:pPr>
      <w:r>
        <w:t xml:space="preserve">— опция «White Label» — удаление (скрытие) фирменных обозначений, ссылок и информационных элементов Лицензиара, указанных в п. 7.5 Договора;</w:t>
      </w:r>
    </w:p>
    <w:p>
      <w:pPr>
        <w:spacing w:after="90" w:line="276"/>
        <w:ind w:left="454"/>
        <w:jc w:val="both"/>
      </w:pPr>
      <w:r>
        <w:t xml:space="preserve">— расширение количества используемых филиалов (клубов) сверх включённых в подписку;</w:t>
      </w:r>
    </w:p>
    <w:p>
      <w:pPr>
        <w:spacing w:after="90" w:line="276"/>
        <w:ind w:left="454"/>
        <w:jc w:val="both"/>
      </w:pPr>
      <w:r>
        <w:t xml:space="preserve">— подключение дополнительных модулей и интеграций;</w:t>
      </w:r>
    </w:p>
    <w:p>
      <w:pPr>
        <w:spacing w:after="90" w:line="276"/>
        <w:ind w:left="454"/>
        <w:jc w:val="both"/>
      </w:pPr>
      <w:r>
        <w:t xml:space="preserve">— разработка индивидуального функционала;</w:t>
      </w:r>
    </w:p>
    <w:p>
      <w:pPr>
        <w:spacing w:after="90" w:line="276"/>
        <w:ind w:left="454"/>
        <w:jc w:val="both"/>
      </w:pPr>
      <w:r>
        <w:t xml:space="preserve">— иные услуги и настройки по запросу Лицензиата.</w:t>
      </w:r>
    </w:p>
    <w:p>
      <w:pPr>
        <w:spacing w:after="90" w:line="276"/>
        <w:jc w:val="both"/>
      </w:pPr>
      <w:r>
        <w:t xml:space="preserve">4.5. Все платежи по Договору осуществляются в рублях Российской Федерации в безналичном порядке на расчётный счёт Лицензиара на основании выставленного счёта или по QR-коду. Обязанность Лицензиата по оплате считается исполненной с момента поступления денежных средств на расчётный счёт Лицензиара.</w:t>
      </w:r>
    </w:p>
    <w:p>
      <w:pPr>
        <w:spacing w:after="90" w:line="276"/>
        <w:jc w:val="both"/>
      </w:pPr>
      <w:r>
        <w:rPr>
          <w:b w:val="false"/>
          <w:bCs w:val="false"/>
        </w:rPr>
        <w:t xml:space="preserve">4.6. </w:t>
      </w:r>
      <w:r>
        <w:rPr>
          <w:b/>
          <w:bCs/>
        </w:rPr>
        <w:t xml:space="preserve">Возврат денежных средств за уже оплаченный (текущий и истекшие) Расчётный период не производится.</w:t>
      </w:r>
      <w:r>
        <w:rPr>
          <w:b w:val="false"/>
          <w:bCs w:val="false"/>
        </w:rPr>
        <w:t xml:space="preserve"> Единовременная плата за Внедрение возврату не подлежит после начала выполнения работ по Внедрению. Прекращение использования ПО либо частичное использование ПО Лицензиатом до окончания оплаченного Расчётного периода не является основанием для возврата вознаграждения.</w:t>
      </w:r>
    </w:p>
    <w:p>
      <w:pPr>
        <w:spacing w:after="90" w:line="276"/>
        <w:jc w:val="both"/>
      </w:pPr>
      <w:r>
        <w:t xml:space="preserve">4.7. Вознаграждение НДС не облагается в связи с применением Лицензиаром упрощённой системы налогообложения (п. 2, 3 ст. 346.11 Налогового кодекса Российской Федерации).</w:t>
      </w:r>
    </w:p>
    <w:p>
      <w:pPr>
        <w:spacing w:after="90" w:line="276"/>
        <w:jc w:val="both"/>
      </w:pPr>
      <w:r>
        <w:t xml:space="preserve">4.8. Лицензиар вправе в одностороннем порядке изменить размер ежемесячного вознаграждения за будущие Расчётные периоды, письменно уведомив Лицензиата не менее чем за 30 (тридцать) календарных дней до начала соответствующего Расчётного периода (в том числе по электронной почте или в мессенджере). Продолжение использования ПО и/или оплата после вступления изменения в силу означают согласие Лицензиата с новым размером вознаграждения; при несогласии Лицензиат вправе отказаться от Договора в порядке раздела 12.</w:t>
      </w:r>
    </w:p>
    <w:p>
      <w:pPr>
        <w:spacing w:after="90" w:line="276"/>
        <w:jc w:val="both"/>
      </w:pPr>
      <w:r>
        <w:t xml:space="preserve">4.9. В случае неоплаты или просрочки оплаты Лицензиар вправе приостановить (ограничить) доступ Лицензиата к ПО, в том числе к административной панели (панели управления), до полного погашения задолженности, в порядке, предусмотренном п. 5.5 Договора. Приостановление доступа по данному основанию не является нарушением Договора со стороны Лицензиара и не влечёт возврата вознаграждения за оплаченный период.</w:t>
      </w:r>
    </w:p>
    <w:p>
      <w:pPr>
        <w:spacing w:after="90" w:line="276"/>
        <w:jc w:val="both"/>
      </w:pPr>
      <w:r>
        <w:t xml:space="preserve">4.10. Минимальный объём оплачиваемых работ по доработке ПО (п. 4.4) составляет 1 (один) час; время работы округляется в большую сторону до полного часа.</w:t>
      </w:r>
    </w:p>
    <w:p>
      <w:pPr>
        <w:keepNext/>
        <w:spacing w:after="110" w:before="240"/>
      </w:pPr>
      <w:r>
        <w:rPr>
          <w:b/>
          <w:bCs/>
        </w:rPr>
        <w:t xml:space="preserve">5. ПРАВА И ОБЯЗАННОСТИ СТОРОН</w:t>
      </w:r>
    </w:p>
    <w:p>
      <w:pPr>
        <w:spacing w:after="90" w:line="276"/>
        <w:jc w:val="both"/>
      </w:pPr>
      <w:r>
        <w:t xml:space="preserve">5.1. Лицензиар обязуется:</w:t>
      </w:r>
    </w:p>
    <w:p>
      <w:pPr>
        <w:spacing w:after="90" w:line="276"/>
        <w:ind w:left="454"/>
        <w:jc w:val="both"/>
      </w:pPr>
      <w:r>
        <w:t xml:space="preserve">5.1.1. предоставить Лицензиату право использования ПО и доступ к Экземпляру ПО в порядке и сроки, установленные Договором;</w:t>
      </w:r>
    </w:p>
    <w:p>
      <w:pPr>
        <w:spacing w:after="90" w:line="276"/>
        <w:ind w:left="454"/>
        <w:jc w:val="both"/>
      </w:pPr>
      <w:r>
        <w:t xml:space="preserve">5.1.2. осуществлять поддержание работоспособности ПО, его Обновление и Техническую поддержку в Рабочее время;</w:t>
      </w:r>
    </w:p>
    <w:p>
      <w:pPr>
        <w:spacing w:after="90" w:line="276"/>
        <w:ind w:left="454"/>
        <w:jc w:val="both"/>
      </w:pPr>
      <w:r>
        <w:t xml:space="preserve">5.1.3. осуществлять резервное копирование и мониторинг данных Лицензиата, размещённых в ПО, с учётом п. 5.7 Договора;</w:t>
      </w:r>
    </w:p>
    <w:p>
      <w:pPr>
        <w:spacing w:after="90" w:line="276"/>
        <w:ind w:left="454"/>
        <w:jc w:val="both"/>
      </w:pPr>
      <w:r>
        <w:t xml:space="preserve">5.1.4. соблюдать конфиденциальность в соответствии с разделом 10 Договора.</w:t>
      </w:r>
    </w:p>
    <w:p>
      <w:pPr>
        <w:spacing w:after="90" w:line="276"/>
        <w:jc w:val="both"/>
      </w:pPr>
      <w:r>
        <w:t xml:space="preserve">5.2. Лицензиар вправе:</w:t>
      </w:r>
    </w:p>
    <w:p>
      <w:pPr>
        <w:spacing w:after="90" w:line="276"/>
        <w:ind w:left="454"/>
        <w:jc w:val="both"/>
      </w:pPr>
      <w:r>
        <w:t xml:space="preserve">5.2.1. привлекать для исполнения Договора третьих лиц, оставаясь ответственным за их действия перед Лицензиатом;</w:t>
      </w:r>
    </w:p>
    <w:p>
      <w:pPr>
        <w:spacing w:after="90" w:line="276"/>
        <w:ind w:left="454"/>
        <w:jc w:val="both"/>
      </w:pPr>
      <w:r>
        <w:t xml:space="preserve">5.2.2. проводить плановые профилактические и технические работы, по возможности заблаговременно уведомляя Лицензиата и минимизируя перерывы в доступе;</w:t>
      </w:r>
    </w:p>
    <w:p>
      <w:pPr>
        <w:spacing w:after="90" w:line="276"/>
        <w:ind w:left="454"/>
        <w:jc w:val="both"/>
      </w:pPr>
      <w:r>
        <w:t xml:space="preserve">5.2.3. приостановить доступ Лицензиата к ПО в случаях, предусмотренных п. 5.5, п. 6.3 и разделом 12 Договора;</w:t>
      </w:r>
    </w:p>
    <w:p>
      <w:pPr>
        <w:spacing w:after="90" w:line="276"/>
        <w:ind w:left="454"/>
        <w:jc w:val="both"/>
      </w:pPr>
      <w:r>
        <w:t xml:space="preserve">5.2.4. развивать и модифицировать функционал ПО в порядке пп. 5.8–5.10 Договора.</w:t>
      </w:r>
    </w:p>
    <w:p>
      <w:pPr>
        <w:spacing w:after="90" w:line="276"/>
        <w:jc w:val="both"/>
      </w:pPr>
      <w:r>
        <w:t xml:space="preserve">5.3. Лицензиат обязуется:</w:t>
      </w:r>
    </w:p>
    <w:p>
      <w:pPr>
        <w:spacing w:after="90" w:line="276"/>
        <w:ind w:left="454"/>
        <w:jc w:val="both"/>
      </w:pPr>
      <w:r>
        <w:t xml:space="preserve">5.3.1. своевременно и в полном объёме уплачивать вознаграждение в соответствии с разделом 4 Договора;</w:t>
      </w:r>
    </w:p>
    <w:p>
      <w:pPr>
        <w:spacing w:after="90" w:line="276"/>
        <w:ind w:left="454"/>
        <w:jc w:val="both"/>
      </w:pPr>
      <w:r>
        <w:t xml:space="preserve">5.3.2. предоставить Лицензиару сведения и материалы, необходимые для Внедрения и эксплуатации ПО, и обеспечить их достоверность;</w:t>
      </w:r>
    </w:p>
    <w:p>
      <w:pPr>
        <w:spacing w:after="90" w:line="276"/>
        <w:ind w:left="454"/>
        <w:jc w:val="both"/>
      </w:pPr>
      <w:r>
        <w:t xml:space="preserve">5.3.3. использовать ПО в соответствии с его назначением и условиями Договора, соблюдать ограничения, установленные разделом 6;</w:t>
      </w:r>
    </w:p>
    <w:p>
      <w:pPr>
        <w:spacing w:after="90" w:line="276"/>
        <w:ind w:left="454"/>
        <w:jc w:val="both"/>
      </w:pPr>
      <w:r>
        <w:t xml:space="preserve">5.3.4. обеспечивать сохранность и конфиденциальность учётных данных доступа, не допускать использования ПО неуполномоченными лицами;</w:t>
      </w:r>
    </w:p>
    <w:p>
      <w:pPr>
        <w:spacing w:after="90" w:line="276"/>
        <w:ind w:left="454"/>
        <w:jc w:val="both"/>
      </w:pPr>
      <w:r>
        <w:t xml:space="preserve">5.3.5. самостоятельно и за свой счёт обеспечивать наличие оборудования и доступа в сеть «Интернет», необходимых для использования ПО;</w:t>
      </w:r>
    </w:p>
    <w:p>
      <w:pPr>
        <w:spacing w:after="90" w:line="276"/>
        <w:ind w:left="454"/>
        <w:jc w:val="both"/>
      </w:pPr>
      <w:r>
        <w:t xml:space="preserve">5.3.6. нести ответственность за законность своей деятельности, осуществляемой с использованием ПО.</w:t>
      </w:r>
    </w:p>
    <w:p>
      <w:pPr>
        <w:spacing w:after="90" w:line="276"/>
        <w:jc w:val="both"/>
      </w:pPr>
      <w:r>
        <w:t xml:space="preserve">5.4. Лицензиат вправе:</w:t>
      </w:r>
    </w:p>
    <w:p>
      <w:pPr>
        <w:spacing w:after="90" w:line="276"/>
        <w:ind w:left="454"/>
        <w:jc w:val="both"/>
      </w:pPr>
      <w:r>
        <w:t xml:space="preserve">5.4.1. использовать ПО в объёме и способами, предусмотренными Договором;</w:t>
      </w:r>
    </w:p>
    <w:p>
      <w:pPr>
        <w:spacing w:after="90" w:line="276"/>
        <w:ind w:left="454"/>
        <w:jc w:val="both"/>
      </w:pPr>
      <w:r>
        <w:t xml:space="preserve">5.4.2. получать Техническую поддержку и Обновления в течение срока действия Договора.</w:t>
      </w:r>
    </w:p>
    <w:p>
      <w:pPr>
        <w:spacing w:after="90" w:line="276"/>
        <w:jc w:val="both"/>
      </w:pPr>
      <w:r>
        <w:t xml:space="preserve">5.5. Лицензиар вправе приостановить (ограничить) доступ Лицензиата к ПО без возврата вознаграждения в случае: (а) просрочки оплаты более чем на 5 (пять) календарных дней; (б) нарушения Лицензиатом ограничений использования (раздел 6); (в) использования ПО способом, создающим угрозу работоспособности или безопасности ПО. Доступ восстанавливается после устранения нарушения и/или погашения задолженности.</w:t>
      </w:r>
    </w:p>
    <w:p>
      <w:pPr>
        <w:spacing w:after="90" w:line="276"/>
        <w:jc w:val="both"/>
      </w:pPr>
      <w:r>
        <w:t xml:space="preserve">5.6. Техническая поддержка оказывается в Рабочее время. Время реакции Лицензиара на критические обращения (полная неработоспособность ПО) составляет до 8 (восьми) рабочих часов с момента получения обращения. Время реакции означает срок начала работы по обращению и не является сроком устранения; фактический срок устранения зависит от характера и причин сбоя.</w:t>
      </w:r>
    </w:p>
    <w:p>
      <w:pPr>
        <w:spacing w:after="90" w:line="276"/>
        <w:jc w:val="both"/>
      </w:pPr>
      <w:r>
        <w:t xml:space="preserve">5.7. Лицензиар самостоятельно определяет периодичность и порядок резервного копирования данных. Резервные копии используются исключительно для восстановления работоспособности ПО и данных после технических сбоев; Лицензиар не гарантирует наличие резервной копии данных на произвольный момент времени.</w:t>
      </w:r>
    </w:p>
    <w:p>
      <w:pPr>
        <w:spacing w:after="90" w:line="276"/>
        <w:jc w:val="both"/>
      </w:pPr>
      <w:r>
        <w:t xml:space="preserve">5.8. Выпуск Обновлений осуществляется по усмотрению Лицензиара и не предполагает обязательного сохранения прежнего пользовательского интерфейса либо отдельных функций ПО, если это не ухудшает основные (существенные) потребительские свойства ПО.</w:t>
      </w:r>
    </w:p>
    <w:p>
      <w:pPr>
        <w:spacing w:after="90" w:line="276"/>
        <w:jc w:val="both"/>
      </w:pPr>
      <w:r>
        <w:t xml:space="preserve">5.9. Лицензиар вправе изменять состав функциональных возможностей ПО при условии, что такие изменения не делают невозможным использование ПО по его основному назначению.</w:t>
      </w:r>
    </w:p>
    <w:p>
      <w:pPr>
        <w:spacing w:after="90" w:line="276"/>
        <w:jc w:val="both"/>
      </w:pPr>
      <w:r>
        <w:t xml:space="preserve">5.10. Лицензиар самостоятельно определяет направления развития ПО и не обязан реализовывать предложения или пожелания Лицензиата по добавлению нового функционала.</w:t>
      </w:r>
    </w:p>
    <w:p>
      <w:pPr>
        <w:keepNext/>
        <w:spacing w:after="110" w:before="240"/>
      </w:pPr>
      <w:r>
        <w:rPr>
          <w:b/>
          <w:bCs/>
        </w:rPr>
        <w:t xml:space="preserve">6. ОГРАНИЧЕНИЯ ИСПОЛЬЗОВАНИЯ ПО</w:t>
      </w:r>
    </w:p>
    <w:p>
      <w:pPr>
        <w:spacing w:after="90" w:line="276"/>
        <w:jc w:val="both"/>
      </w:pPr>
      <w:r>
        <w:t xml:space="preserve">6.1. Лицензиат не вправе:</w:t>
      </w:r>
    </w:p>
    <w:p>
      <w:pPr>
        <w:spacing w:after="90" w:line="276"/>
        <w:ind w:left="454"/>
        <w:jc w:val="both"/>
      </w:pPr>
      <w:r>
        <w:t xml:space="preserve">6.1.1. воспроизводить, копировать, распространять, публично показывать ПО или его части за пределами предоставленного права использования;</w:t>
      </w:r>
    </w:p>
    <w:p>
      <w:pPr>
        <w:spacing w:after="90" w:line="276"/>
        <w:ind w:left="454"/>
        <w:jc w:val="both"/>
      </w:pPr>
      <w:r>
        <w:t xml:space="preserve">6.1.2. модифицировать, декомпилировать, дизассемблировать, осуществлять обратную разработку ПО, пытаться получить его исходный код, за исключением случаев, прямо разрешённых законом;</w:t>
      </w:r>
    </w:p>
    <w:p>
      <w:pPr>
        <w:spacing w:after="90" w:line="276"/>
        <w:ind w:left="454"/>
        <w:jc w:val="both"/>
      </w:pPr>
      <w:r>
        <w:t xml:space="preserve">6.1.3. перепродавать, передавать, сублицензировать, сдавать в аренду право использования ПО, предоставлять доступ к ПО третьим лицам, использовать ПО в интересах третьих лиц без письменного согласия Лицензиара;</w:t>
      </w:r>
    </w:p>
    <w:p>
      <w:pPr>
        <w:spacing w:after="90" w:line="276"/>
        <w:ind w:left="454"/>
        <w:jc w:val="both"/>
      </w:pPr>
      <w:r>
        <w:t xml:space="preserve">6.1.4. использовать ПО для создания аналогичных или конкурирующих программных продуктов;</w:t>
      </w:r>
    </w:p>
    <w:p>
      <w:pPr>
        <w:spacing w:after="90" w:line="276"/>
        <w:ind w:left="454"/>
        <w:jc w:val="both"/>
      </w:pPr>
      <w:r>
        <w:t xml:space="preserve">6.1.5. удалять или изменять указания о правообладателе, товарные знаки и иные средства индивидуализации Лицензиара.</w:t>
      </w:r>
    </w:p>
    <w:p>
      <w:pPr>
        <w:spacing w:after="90" w:line="276"/>
        <w:jc w:val="both"/>
      </w:pPr>
      <w:r>
        <w:t xml:space="preserve">6.2. ПО предназначено исключительно для организации и проведения клубных турниров по спортивному покеру (без ставок и без игры на реальные деньги). Лицензиат обязуется не использовать ПО для организации и проведения азартных игр и иной деятельности, запрещённой законодательством Российской Федерации. Ответственность за соблюдение требований законодательства при проведении игр (мероприятий) несёт Лицензиат как организатор.</w:t>
      </w:r>
    </w:p>
    <w:p>
      <w:pPr>
        <w:spacing w:after="90" w:line="276"/>
        <w:jc w:val="both"/>
      </w:pPr>
      <w:r>
        <w:t xml:space="preserve">6.3. Лицензиар вправе немедленно приостановить и/или прекратить доступ Лицензиата к ПО без предварительного уведомления в случае использования ПО для противоправной деятельности либо деятельности, способной причинить вред Лицензиару, ПО или третьим лицам. Вознаграждение за оплаченный период при этом возврату не подлежит.</w:t>
      </w:r>
    </w:p>
    <w:p>
      <w:pPr>
        <w:keepNext/>
        <w:spacing w:after="110" w:before="240"/>
      </w:pPr>
      <w:r>
        <w:rPr>
          <w:b/>
          <w:bCs/>
        </w:rPr>
        <w:t xml:space="preserve">7. ИНТЕЛЛЕКТУАЛЬНАЯ СОБСТВЕННОСТЬ</w:t>
      </w:r>
    </w:p>
    <w:p>
      <w:pPr>
        <w:spacing w:after="90" w:line="276"/>
        <w:jc w:val="both"/>
      </w:pPr>
      <w:r>
        <w:t xml:space="preserve">7.1. Исключительное право на ПО и его компоненты принадлежит Лицензиару. Все Обновления, доработки и модификации ПО, в том числе выполненные по заданию Лицензиата, являются частью ПО, и исключительное право на них принадлежит Лицензиару.</w:t>
      </w:r>
    </w:p>
    <w:p>
      <w:pPr>
        <w:spacing w:after="90" w:line="276"/>
        <w:jc w:val="both"/>
      </w:pPr>
      <w:r>
        <w:t xml:space="preserve">7.2. Результаты брендирования, выполненного для Лицензиата (логотип, наименование и фирменные цвета клуба Лицензиата), остаются собственностью Лицензиата. Лицензиар не приобретает прав на средства индивидуализации Лицензиата и использует их исключительно в целях исполнения Договора, с учётом п. 7.4.</w:t>
      </w:r>
    </w:p>
    <w:p>
      <w:pPr>
        <w:spacing w:after="90" w:line="276"/>
        <w:jc w:val="both"/>
      </w:pPr>
      <w:r>
        <w:t xml:space="preserve">7.3. Данные, введённые Лицензиатом в ПО (сведения об игроках, турнирах, финансовых операциях клуба и т. п.), принадлежат Лицензиату. Лицензиар не приобретает прав на такие данные и использует их исключительно в целях исполнения Договора.</w:t>
      </w:r>
    </w:p>
    <w:p>
      <w:pPr>
        <w:spacing w:after="90" w:line="276"/>
        <w:jc w:val="both"/>
      </w:pPr>
      <w:r>
        <w:t xml:space="preserve">7.4. Лицензиар вправе использовать фирменное наименование и логотип Лицензиата исключительно в качестве информации о факте сотрудничества (в портфолио, на сайте и в маркетинговых материалах Лицензиара), если Лицензиат письменно не возразил против такого использования. По получении письменного возражения Лицензиар прекращает соответствующее использование в разумный срок.</w:t>
      </w:r>
    </w:p>
    <w:p>
      <w:pPr>
        <w:spacing w:after="90" w:line="276"/>
        <w:jc w:val="both"/>
      </w:pPr>
      <w:r>
        <w:t xml:space="preserve">7.5. В стандартной версии ПО допускается размещение фирменных обозначений и информационных элементов Лицензиара, включая логотип и наименование продукта «PokerBot Online», ссылку на сайт Лицензиара, информационную отметку «Разработано на PokerBot Online», а также информационные элементы, связанные с мобильным приложением Лицензиара. Использование стандартного оформления входит в стоимость лицензии. Удаление, скрытие или отключение указанных обозначений и элементов (опция «White Label»), а равно индивидуальное оформление (дизайн) и брендирование ПО и/или мобильного приложения, осуществляются исключительно при подключении соответствующей дополнительной платной опции в порядке пп. 4.4.1–4.4.2 Договора.</w:t>
      </w:r>
    </w:p>
    <w:p>
      <w:pPr>
        <w:keepNext/>
        <w:spacing w:after="110" w:before="240"/>
      </w:pPr>
      <w:r>
        <w:rPr>
          <w:b/>
          <w:bCs/>
        </w:rPr>
        <w:t xml:space="preserve">8. ОТВЕТСТВЕННОСТЬ СТОРОН, ГАРАНТИИ И ОГРАНИЧЕНИЕ ОТВЕТСТВЕННОСТИ</w:t>
      </w:r>
    </w:p>
    <w:p>
      <w:pPr>
        <w:spacing w:after="90" w:line="276"/>
        <w:jc w:val="both"/>
      </w:pPr>
      <w:r>
        <w:t xml:space="preserve">8.1. За неисполнение или ненадлежащее исполнение обязательств Стороны несут ответственность в соответствии с Договором и законодательством Российской Федерации.</w:t>
      </w:r>
    </w:p>
    <w:p>
      <w:pPr>
        <w:spacing w:after="90" w:line="276"/>
        <w:jc w:val="both"/>
      </w:pPr>
      <w:r>
        <w:t xml:space="preserve">8.2. ПО предоставляется по принципу «как есть» (as is) с учётом текущего функционала. Лицензиар прилагает разумные усилия для обеспечения бесперебойной работы ПО, но не гарантирует полное отсутствие ошибок и перерывов, вызванных обстоятельствами вне разумного контроля Лицензиара.</w:t>
      </w:r>
    </w:p>
    <w:p>
      <w:pPr>
        <w:spacing w:after="90" w:line="276"/>
        <w:jc w:val="both"/>
      </w:pPr>
      <w:r>
        <w:t xml:space="preserve">8.3. Ответственность Лицензиара по Договору (включая убытки) ограничена. Ни при каких обстоятельствах совокупная ответственность Лицензиара не может превышать суммы вознаграждения, фактически уплаченного Лицензиатом за последний (предшествующий соответствующему событию) Расчётный период. Лицензиар не возмещает упущенную выгоду и иные косвенные убытки.</w:t>
      </w:r>
    </w:p>
    <w:p>
      <w:pPr>
        <w:spacing w:after="90" w:line="276"/>
        <w:jc w:val="both"/>
      </w:pPr>
      <w:r>
        <w:t xml:space="preserve">8.4. Лицензиар не несёт ответственности за содержание данных, вводимых Лицензиатом, за законность деятельности Лицензиата, а также за последствия использования ПО не в соответствии с Договором.</w:t>
      </w:r>
    </w:p>
    <w:p>
      <w:pPr>
        <w:spacing w:after="90" w:line="276"/>
        <w:jc w:val="both"/>
      </w:pPr>
      <w:r>
        <w:t xml:space="preserve">8.5. Уплата неустойки и возмещение убытков не освобождают Сторону от исполнения обязательств по Договору.</w:t>
      </w:r>
    </w:p>
    <w:p>
      <w:pPr>
        <w:spacing w:after="90" w:line="276"/>
        <w:jc w:val="both"/>
      </w:pPr>
      <w:r>
        <w:t xml:space="preserve">8.6. Лицензиар не несёт ответственности за ограничения, блокировки, изменение условий или программного интерфейса (API), действия либо бездействие администрации мессенджера Telegram, а также иных сторонних сервисов и платформ, используемых для работы ПО.</w:t>
      </w:r>
    </w:p>
    <w:p>
      <w:pPr>
        <w:spacing w:after="90" w:line="276"/>
        <w:jc w:val="both"/>
      </w:pPr>
      <w:r>
        <w:t xml:space="preserve">8.7. Лицензиар не отвечает за невозможность использования ПО вследствие отсутствия или ненадлежащего качества доступа Лицензиата к сети «Интернет», а также неисправности оборудования Лицензиата.</w:t>
      </w:r>
    </w:p>
    <w:p>
      <w:pPr>
        <w:spacing w:after="90" w:line="276"/>
        <w:jc w:val="both"/>
      </w:pPr>
      <w:r>
        <w:t xml:space="preserve">8.8. Лицензиар не гарантирует достижение Лицензиатом каких-либо коммерческих, финансовых либо иных результатов вследствие использования ПО.</w:t>
      </w:r>
    </w:p>
    <w:p>
      <w:pPr>
        <w:keepNext/>
        <w:spacing w:after="110" w:before="240"/>
      </w:pPr>
      <w:r>
        <w:rPr>
          <w:b/>
          <w:bCs/>
        </w:rPr>
        <w:t xml:space="preserve">9. ПЕРСОНАЛЬНЫЕ ДАННЫЕ</w:t>
      </w:r>
    </w:p>
    <w:p>
      <w:pPr>
        <w:spacing w:after="90" w:line="276"/>
        <w:jc w:val="both"/>
      </w:pPr>
      <w:r>
        <w:t xml:space="preserve">9.1. При исполнении Договора Стороны обрабатывают персональные данные в соответствии с Федеральным законом от 27.07.2006 № 152-ФЗ «О персональных данных».</w:t>
      </w:r>
    </w:p>
    <w:p>
      <w:pPr>
        <w:spacing w:after="90" w:line="276"/>
        <w:jc w:val="both"/>
      </w:pPr>
      <w:r>
        <w:t xml:space="preserve">9.2. В отношении персональных данных игроков и иных лиц, вносимых в ПО, оператором является Лицензиат. Лицензиат гарантирует наличие правовых оснований для обработки таких данных, в том числе полученных согласий субъектов персональных данных.</w:t>
      </w:r>
    </w:p>
    <w:p>
      <w:pPr>
        <w:spacing w:after="90" w:line="276"/>
        <w:jc w:val="both"/>
      </w:pPr>
      <w:r>
        <w:t xml:space="preserve">9.3. Лицензиар обрабатывает персональные данные по поручению Лицензиата (ч. 3 ст. 6 Федерального закона № 152-ФЗ) исключительно в целях исполнения Договора и обязуется соблюдать конфиденциальность и требования к защите персональных данных.</w:t>
      </w:r>
    </w:p>
    <w:p>
      <w:pPr>
        <w:spacing w:after="90" w:line="276"/>
        <w:jc w:val="both"/>
      </w:pPr>
      <w:r>
        <w:t xml:space="preserve">9.4. Стороны обязуются обеспечивать конфиденциальность и безопасность обрабатываемых персональных данных и не раскрывать их третьим лицам без предусмотренных законом оснований.</w:t>
      </w:r>
    </w:p>
    <w:p>
      <w:pPr>
        <w:keepNext/>
        <w:spacing w:after="110" w:before="240"/>
      </w:pPr>
      <w:r>
        <w:rPr>
          <w:b/>
          <w:bCs/>
        </w:rPr>
        <w:t xml:space="preserve">10. КОНФИДЕНЦИАЛЬНОСТЬ</w:t>
      </w:r>
    </w:p>
    <w:p>
      <w:pPr>
        <w:spacing w:after="90" w:line="276"/>
        <w:jc w:val="both"/>
      </w:pPr>
      <w:r>
        <w:t xml:space="preserve">10.1. Стороны обязуются не разглашать третьим лицам и не использовать в целях, не связанных с исполнением Договора, конфиденциальную информацию, ставшую известной в связи с Договором (условия Договора, технические и коммерческие сведения, данные, полученные при использовании ПО).</w:t>
      </w:r>
    </w:p>
    <w:p>
      <w:pPr>
        <w:spacing w:after="90" w:line="276"/>
        <w:jc w:val="both"/>
      </w:pPr>
      <w:r>
        <w:t xml:space="preserve">10.2. Обязательства по конфиденциальности действуют в течение срока действия Договора и 3 (трёх) лет после его прекращения. Не является нарушением раскрытие информации по требованию уполномоченных государственных органов в установленном законом порядке.</w:t>
      </w:r>
    </w:p>
    <w:p>
      <w:pPr>
        <w:keepNext/>
        <w:spacing w:after="110" w:before="240"/>
      </w:pPr>
      <w:r>
        <w:rPr>
          <w:b/>
          <w:bCs/>
        </w:rPr>
        <w:t xml:space="preserve">11. ОБСТОЯТЕЛЬСТВА НЕПРЕОДОЛИМОЙ СИЛЫ</w:t>
      </w:r>
    </w:p>
    <w:p>
      <w:pPr>
        <w:spacing w:after="90" w:line="276"/>
        <w:jc w:val="both"/>
      </w:pPr>
      <w:r>
        <w:t xml:space="preserve">11.1. Стороны освобождаются от ответственности за неисполнение или ненадлежащее исполнение обязательств, если оно вызвано обстоятельствами непреодолимой силы (стихийные бедствия, военные действия, акты органов власти, аварии, массовые сбои в работе сетей связи и энергоснабжения и иные подобные обстоятельства), возникшими после заключения Договора.</w:t>
      </w:r>
    </w:p>
    <w:p>
      <w:pPr>
        <w:spacing w:after="90" w:line="276"/>
        <w:jc w:val="both"/>
      </w:pPr>
      <w:r>
        <w:t xml:space="preserve">11.2. Сторона, для которой создалась невозможность исполнения, обязана уведомить другую Сторону в разумный срок. Если такие обстоятельства длятся более 2 (двух) месяцев подряд, любая из Сторон вправе отказаться от Договора без возмещения убытков.</w:t>
      </w:r>
    </w:p>
    <w:p>
      <w:pPr>
        <w:keepNext/>
        <w:spacing w:after="110" w:before="240"/>
      </w:pPr>
      <w:r>
        <w:rPr>
          <w:b/>
          <w:bCs/>
        </w:rPr>
        <w:t xml:space="preserve">12. СРОК ДЕЙСТВИЯ, ИЗМЕНЕНИЕ И РАСТОРЖЕНИЕ ДОГОВОРА</w:t>
      </w:r>
    </w:p>
    <w:p>
      <w:pPr>
        <w:spacing w:after="90" w:line="276"/>
        <w:jc w:val="both"/>
      </w:pPr>
      <w:r>
        <w:t xml:space="preserve">12.1. Договор вступает в силу с момента его подписания обеими Сторонами и действует бессрочно (в течение срока активной подписки), до его расторжения в порядке, предусмотренном Договором.</w:t>
      </w:r>
    </w:p>
    <w:p>
      <w:pPr>
        <w:spacing w:after="90" w:line="276"/>
        <w:jc w:val="both"/>
      </w:pPr>
      <w:r>
        <w:t xml:space="preserve">12.2. Договор может быть расторгнут по соглашению Сторон, а также в одностороннем внесудебном порядке в случаях, предусмотренных Договором и законодательством Российской Федерации.</w:t>
      </w:r>
    </w:p>
    <w:p>
      <w:pPr>
        <w:spacing w:after="90" w:line="276"/>
        <w:jc w:val="both"/>
      </w:pPr>
      <w:r>
        <w:t xml:space="preserve">12.3. Лицензиат вправе в любое время отказаться от Договора (прекратить подписку) в одностороннем внесудебном порядке, письменно уведомив Лицензиара до начала следующего Расчётного периода. При этом уплаченное вознаграждение за оплаченный период возврату не подлежит (п. 4.6 Договора), а предоставление права использования ПО прекращается с окончанием оплаченного периода.</w:t>
      </w:r>
    </w:p>
    <w:p>
      <w:pPr>
        <w:spacing w:after="90" w:line="276"/>
        <w:jc w:val="both"/>
      </w:pPr>
      <w:r>
        <w:t xml:space="preserve">12.4. Лицензиар вправе в одностороннем внесудебном порядке отказаться от Договора и/или прекратить предоставление права использования ПО, письменно уведомив Лицензиата не менее чем за 10 (десять) календарных дней, а в случае нарушения Лицензиатом обязательств по оплате или ограничений использования (раздел 6) — с приостановлением доступа в порядке п. 5.5 и п. 6.3.</w:t>
      </w:r>
    </w:p>
    <w:p>
      <w:pPr>
        <w:spacing w:after="90" w:line="276"/>
        <w:jc w:val="both"/>
      </w:pPr>
      <w:r>
        <w:t xml:space="preserve">12.5. Прекращение Договора влечёт прекращение права использования ПО и доступа к Экземпляру ПО. По письменному запросу Лицензиата, направленному до даты прекращения, Лицензиар в течение 10 (десяти) рабочих дней предоставляет выгрузку данных Лицензиата в машиночитаемом формате, после чего вправе удалить данные Лицензиата.</w:t>
      </w:r>
    </w:p>
    <w:p>
      <w:pPr>
        <w:spacing w:after="90" w:line="276"/>
        <w:jc w:val="both"/>
      </w:pPr>
      <w:r>
        <w:t xml:space="preserve">12.6. Все изменения и дополнения к Договору действительны, если совершены в письменной форме (в том числе посредством электронного документооборота) и подписаны Сторонами, за исключением случаев одностороннего изменения, прямо предусмотренных Договором (в том числе п. 4.8).</w:t>
      </w:r>
    </w:p>
    <w:p>
      <w:pPr>
        <w:spacing w:after="90" w:line="276"/>
        <w:jc w:val="both"/>
      </w:pPr>
      <w:r>
        <w:t xml:space="preserve">12.7. По истечении срока, указанного в п. 12.5, Лицензиар вправе удалить данные Лицензиата. После удаления данных их восстановление не гарантируется.</w:t>
      </w:r>
    </w:p>
    <w:p>
      <w:pPr>
        <w:keepNext/>
        <w:spacing w:after="110" w:before="240"/>
      </w:pPr>
      <w:r>
        <w:rPr>
          <w:b/>
          <w:bCs/>
        </w:rPr>
        <w:t xml:space="preserve">13. РАЗРЕШЕНИЕ СПОРОВ</w:t>
      </w:r>
    </w:p>
    <w:p>
      <w:pPr>
        <w:spacing w:after="90" w:line="276"/>
        <w:jc w:val="both"/>
      </w:pPr>
      <w:r>
        <w:t xml:space="preserve">13.1. Споры и разногласия по Договору Стороны разрешают путём переговоров. Претензионный порядок является обязательным; срок ответа на претензию — 10 (десять) рабочих дней с даты её получения.</w:t>
      </w:r>
    </w:p>
    <w:p>
      <w:pPr>
        <w:spacing w:after="90" w:line="276"/>
        <w:jc w:val="both"/>
      </w:pPr>
      <w:r>
        <w:t xml:space="preserve">13.2. При недостижении согласия спор передаётся на рассмотрение арбитражного суда по месту нахождения ответчика в соответствии с законодательством Российской Федерации.</w:t>
      </w:r>
    </w:p>
    <w:p>
      <w:pPr>
        <w:keepNext/>
        <w:spacing w:after="110" w:before="240"/>
      </w:pPr>
      <w:r>
        <w:rPr>
          <w:b/>
          <w:bCs/>
        </w:rPr>
        <w:t xml:space="preserve">14. ЗАКЛЮЧИТЕЛЬНЫЕ ПОЛОЖЕНИЯ</w:t>
      </w:r>
    </w:p>
    <w:p>
      <w:pPr>
        <w:spacing w:after="90" w:line="276"/>
        <w:jc w:val="both"/>
      </w:pPr>
      <w:r>
        <w:t xml:space="preserve">14.1. Договор может быть заключён путём обмена подписанными экземплярами, в том числе посредством систем электронного документооборота (ЭДО) и/или обмена скан-копиями по электронной почте с последующим (при необходимости) оформлением на бумажном носителе. Документы, переданные через ЭДО и подписанные усиленными квалифицированными электронными подписями, признаются равнозначными документам на бумажном носителе.</w:t>
      </w:r>
    </w:p>
    <w:p>
      <w:pPr>
        <w:spacing w:after="90" w:line="276"/>
        <w:jc w:val="both"/>
      </w:pPr>
      <w:r>
        <w:t xml:space="preserve">14.2. Стороны признают юридическую силу за уведомлениями и документами, которыми они обмениваются по указанным в Договоре адресам электронной почты и аккаунтам в мессенджере Telegram, в части оперативного взаимодействия по Договору, если иное прямо не предусмотрено Договором или законом.</w:t>
      </w:r>
    </w:p>
    <w:p>
      <w:pPr>
        <w:spacing w:after="90" w:line="276"/>
        <w:jc w:val="both"/>
      </w:pPr>
      <w:r>
        <w:t xml:space="preserve">14.3. Во всём, что не урегулировано Договором, Стороны руководствуются законодательством Российской Федерации.</w:t>
      </w:r>
    </w:p>
    <w:p>
      <w:pPr>
        <w:spacing w:after="90" w:line="276"/>
        <w:jc w:val="both"/>
      </w:pPr>
      <w:r>
        <w:t xml:space="preserve">14.4. Договор составлен в двух экземплярах, имеющих равную юридическую силу, по одному для каждой из Сторон (при оформлении через ЭДО — в форме электронного документа).</w:t>
      </w:r>
    </w:p>
    <w:p>
      <w:pPr>
        <w:keepNext/>
        <w:spacing w:after="110" w:before="240"/>
      </w:pPr>
      <w:r>
        <w:rPr>
          <w:b/>
          <w:bCs/>
        </w:rPr>
        <w:t xml:space="preserve">15. АДРЕСА, РЕКВИЗИТЫ И ПОДПИСИ СТОРОН</w:t>
      </w:r>
    </w:p>
    <w:tbl>
      <w:tblPr>
        <w:tblW w:type="dxa" w:w="9355"/>
        <w:tblBorders>
          <w:top w:val="single" w:color="auto" w:sz="4"/>
          <w:left w:val="single" w:color="auto" w:sz="4"/>
          <w:bottom w:val="single" w:color="auto" w:sz="4"/>
          <w:right w:val="single" w:color="auto" w:sz="4"/>
          <w:insideH w:val="single" w:color="auto" w:sz="4"/>
          <w:insideV w:val="single" w:color="auto" w:sz="4"/>
        </w:tblBorders>
      </w:tblPr>
      <w:tblGrid>
        <w:gridCol w:w="4677"/>
        <w:gridCol w:w="4678"/>
      </w:tblGrid>
      <w:tr>
        <w:tc>
          <w:tcPr>
            <w:tcW w:type="dxa" w:w="4677"/>
            <w:tcBorders>
              <w:top w:val="single" w:color="000000" w:sz="4"/>
              <w:left w:val="single" w:color="000000" w:sz="4"/>
              <w:bottom w:val="single" w:color="000000" w:sz="4"/>
              <w:right w:val="single" w:color="000000" w:sz="4"/>
            </w:tcBorders>
            <w:tcMar>
              <w:top w:type="dxa" w:w="80"/>
              <w:left w:type="dxa" w:w="120"/>
              <w:bottom w:type="dxa" w:w="80"/>
              <w:right w:type="dxa" w:w="120"/>
            </w:tcMar>
          </w:tcPr>
          <w:p>
            <w:pPr>
              <w:spacing w:after="40" w:line="264"/>
            </w:pPr>
            <w:r>
              <w:rPr>
                <w:b/>
                <w:bCs/>
              </w:rPr>
              <w:t xml:space="preserve">ЛИЦЕНЗИАР</w:t>
            </w:r>
          </w:p>
          <w:p>
            <w:pPr>
              <w:spacing w:after="40" w:line="264"/>
            </w:pPr>
            <w:r>
              <w:rPr>
                <w:b w:val="false"/>
                <w:bCs w:val="false"/>
              </w:rPr>
              <w:t xml:space="preserve">ИП Давыдов Сергей Сергеевич</w:t>
            </w:r>
          </w:p>
          <w:p>
            <w:pPr>
              <w:spacing w:after="40" w:line="264"/>
            </w:pPr>
            <w:r>
              <w:rPr>
                <w:b w:val="false"/>
                <w:bCs w:val="false"/>
              </w:rPr>
              <w:t xml:space="preserve">ОГРНИП 319112100012301</w:t>
            </w:r>
          </w:p>
          <w:p>
            <w:pPr>
              <w:spacing w:after="40" w:line="264"/>
            </w:pPr>
            <w:r>
              <w:rPr>
                <w:b w:val="false"/>
                <w:bCs w:val="false"/>
              </w:rPr>
              <w:t xml:space="preserve">ИНН 110121285409</w:t>
            </w:r>
          </w:p>
          <w:p>
            <w:pPr>
              <w:spacing w:after="40" w:line="264"/>
            </w:pPr>
            <w:r>
              <w:rPr>
                <w:b w:val="false"/>
                <w:bCs w:val="false"/>
              </w:rPr>
              <w:t xml:space="preserve">Адрес: Республика Коми, г. Сыктывкар,</w:t>
            </w:r>
          </w:p>
          <w:p>
            <w:pPr>
              <w:spacing w:after="40" w:line="264"/>
            </w:pPr>
            <w:r>
              <w:rPr>
                <w:b w:val="false"/>
                <w:bCs w:val="false"/>
              </w:rPr>
              <w:t xml:space="preserve">ул. Пушкина, д. 39</w:t>
            </w:r>
          </w:p>
          <w:p>
            <w:pPr>
              <w:spacing w:after="40" w:line="264"/>
            </w:pPr>
            <w:r>
              <w:rPr>
                <w:b w:val="false"/>
                <w:bCs w:val="false"/>
              </w:rPr>
              <w:t xml:space="preserve">Р/с ____________________________</w:t>
            </w:r>
          </w:p>
          <w:p>
            <w:pPr>
              <w:spacing w:after="40" w:line="264"/>
            </w:pPr>
            <w:r>
              <w:rPr>
                <w:b w:val="false"/>
                <w:bCs w:val="false"/>
              </w:rPr>
              <w:t xml:space="preserve">Банк __________________________</w:t>
            </w:r>
          </w:p>
          <w:p>
            <w:pPr>
              <w:spacing w:after="40" w:line="264"/>
            </w:pPr>
            <w:r>
              <w:rPr>
                <w:b w:val="false"/>
                <w:bCs w:val="false"/>
              </w:rPr>
              <w:t xml:space="preserve">БИК ______________ К/с __________</w:t>
            </w:r>
          </w:p>
          <w:p>
            <w:pPr>
              <w:spacing w:after="40" w:line="264"/>
            </w:pPr>
            <w:r>
              <w:rPr>
                <w:b w:val="false"/>
                <w:bCs w:val="false"/>
              </w:rPr>
              <w:t xml:space="preserve">Тел./Telegram: @davys11</w:t>
            </w:r>
          </w:p>
          <w:p>
            <w:pPr>
              <w:spacing w:after="40" w:line="264"/>
            </w:pPr>
            <w:r>
              <w:rPr>
                <w:b w:val="false"/>
                <w:bCs w:val="false"/>
              </w:rPr>
              <w:t xml:space="preserve">E-mail: davydovsergey96@yandex.ru</w:t>
            </w:r>
          </w:p>
          <w:p>
            <w:pPr>
              <w:spacing w:after="40" w:line="264"/>
            </w:pPr>
            <w:r>
              <w:rPr>
                <w:b w:val="false"/>
                <w:bCs w:val="false"/>
              </w:rPr>
              <w:t xml:space="preserve"> </w:t>
            </w:r>
          </w:p>
          <w:p>
            <w:pPr>
              <w:spacing w:after="40" w:line="264"/>
            </w:pPr>
            <w:r>
              <w:rPr>
                <w:b w:val="false"/>
                <w:bCs w:val="false"/>
              </w:rPr>
              <w:t xml:space="preserve">_______________ / С. С. Давыдов /</w:t>
            </w:r>
          </w:p>
          <w:p>
            <w:pPr>
              <w:spacing w:after="40" w:line="264"/>
            </w:pPr>
            <w:r>
              <w:rPr>
                <w:b w:val="false"/>
                <w:bCs w:val="false"/>
              </w:rPr>
              <w:t xml:space="preserve">М.П.</w:t>
            </w:r>
          </w:p>
        </w:tc>
        <w:tc>
          <w:tcPr>
            <w:tcW w:type="dxa" w:w="4677"/>
            <w:tcBorders>
              <w:top w:val="single" w:color="000000" w:sz="4"/>
              <w:left w:val="single" w:color="000000" w:sz="4"/>
              <w:bottom w:val="single" w:color="000000" w:sz="4"/>
              <w:right w:val="single" w:color="000000" w:sz="4"/>
            </w:tcBorders>
            <w:tcMar>
              <w:top w:type="dxa" w:w="80"/>
              <w:left w:type="dxa" w:w="120"/>
              <w:bottom w:type="dxa" w:w="80"/>
              <w:right w:type="dxa" w:w="120"/>
            </w:tcMar>
          </w:tcPr>
          <w:p>
            <w:pPr>
              <w:spacing w:after="40" w:line="264"/>
            </w:pPr>
            <w:r>
              <w:rPr>
                <w:b/>
                <w:bCs/>
              </w:rPr>
              <w:t xml:space="preserve">ЛИЦЕНЗИАТ</w:t>
            </w:r>
          </w:p>
          <w:p>
            <w:pPr>
              <w:spacing w:after="40" w:line="264"/>
            </w:pPr>
            <w:r>
              <w:rPr>
                <w:b w:val="false"/>
                <w:bCs w:val="false"/>
              </w:rPr>
              <w:t xml:space="preserve">________________________________</w:t>
            </w:r>
          </w:p>
          <w:p>
            <w:pPr>
              <w:spacing w:after="40" w:line="264"/>
            </w:pPr>
            <w:r>
              <w:rPr>
                <w:b w:val="false"/>
                <w:bCs w:val="false"/>
              </w:rPr>
              <w:t xml:space="preserve">ОГРН/ОГРНИП ____________________</w:t>
            </w:r>
          </w:p>
          <w:p>
            <w:pPr>
              <w:spacing w:after="40" w:line="264"/>
            </w:pPr>
            <w:r>
              <w:rPr>
                <w:b w:val="false"/>
                <w:bCs w:val="false"/>
              </w:rPr>
              <w:t xml:space="preserve">ИНН ____________ КПП ____________</w:t>
            </w:r>
          </w:p>
          <w:p>
            <w:pPr>
              <w:spacing w:after="40" w:line="264"/>
            </w:pPr>
            <w:r>
              <w:rPr>
                <w:b w:val="false"/>
                <w:bCs w:val="false"/>
              </w:rPr>
              <w:t xml:space="preserve">Адрес: ________________________</w:t>
            </w:r>
          </w:p>
          <w:p>
            <w:pPr>
              <w:spacing w:after="40" w:line="264"/>
            </w:pPr>
            <w:r>
              <w:rPr>
                <w:b w:val="false"/>
                <w:bCs w:val="false"/>
              </w:rPr>
              <w:t xml:space="preserve">______________________________</w:t>
            </w:r>
          </w:p>
          <w:p>
            <w:pPr>
              <w:spacing w:after="40" w:line="264"/>
            </w:pPr>
            <w:r>
              <w:rPr>
                <w:b w:val="false"/>
                <w:bCs w:val="false"/>
              </w:rPr>
              <w:t xml:space="preserve">Р/с ____________________________</w:t>
            </w:r>
          </w:p>
          <w:p>
            <w:pPr>
              <w:spacing w:after="40" w:line="264"/>
            </w:pPr>
            <w:r>
              <w:rPr>
                <w:b w:val="false"/>
                <w:bCs w:val="false"/>
              </w:rPr>
              <w:t xml:space="preserve">Банк __________________________</w:t>
            </w:r>
          </w:p>
          <w:p>
            <w:pPr>
              <w:spacing w:after="40" w:line="264"/>
            </w:pPr>
            <w:r>
              <w:rPr>
                <w:b w:val="false"/>
                <w:bCs w:val="false"/>
              </w:rPr>
              <w:t xml:space="preserve">БИК ______________ К/с __________</w:t>
            </w:r>
          </w:p>
          <w:p>
            <w:pPr>
              <w:spacing w:after="40" w:line="264"/>
            </w:pPr>
            <w:r>
              <w:rPr>
                <w:b w:val="false"/>
                <w:bCs w:val="false"/>
              </w:rPr>
              <w:t xml:space="preserve">Тел.: __________________________</w:t>
            </w:r>
          </w:p>
          <w:p>
            <w:pPr>
              <w:spacing w:after="40" w:line="264"/>
            </w:pPr>
            <w:r>
              <w:rPr>
                <w:b w:val="false"/>
                <w:bCs w:val="false"/>
              </w:rPr>
              <w:t xml:space="preserve">E-mail: ______________________</w:t>
            </w:r>
          </w:p>
          <w:p>
            <w:pPr>
              <w:spacing w:after="40" w:line="264"/>
            </w:pPr>
            <w:r>
              <w:rPr>
                <w:b w:val="false"/>
                <w:bCs w:val="false"/>
              </w:rPr>
              <w:t xml:space="preserve"> </w:t>
            </w:r>
          </w:p>
          <w:p>
            <w:pPr>
              <w:spacing w:after="40" w:line="264"/>
            </w:pPr>
            <w:r>
              <w:rPr>
                <w:b w:val="false"/>
                <w:bCs w:val="false"/>
              </w:rPr>
              <w:t xml:space="preserve">_______________ / ____________________ /</w:t>
            </w:r>
          </w:p>
          <w:p>
            <w:pPr>
              <w:spacing w:after="40" w:line="264"/>
            </w:pPr>
            <w:r>
              <w:rPr>
                <w:b w:val="false"/>
                <w:bCs w:val="false"/>
              </w:rPr>
              <w:t xml:space="preserve">М.П.</w:t>
            </w:r>
          </w:p>
        </w:tc>
      </w:tr>
    </w:tbl>
    <w:sectPr>
      <w:footerReference w:type="default" r:id="rId7"/>
      <w:pgSz w:w="11906" w:h="16838" w:orient="portrait"/>
      <w:pgMar w:top="1134" w:right="850" w:bottom="1134"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sz w:val="20"/>
        <w:szCs w:val="20"/>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pPr>
        <w:spacing w:after="90"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2026-07-28T10:58:31.517Z</dcterms:created>
  <dcterms:modified xsi:type="dcterms:W3CDTF">2026-07-28T10:58:31.518Z</dcterms:modified>
</cp:coreProperties>
</file>

<file path=docProps/custom.xml><?xml version="1.0" encoding="utf-8"?>
<Properties xmlns="http://schemas.openxmlformats.org/officeDocument/2006/custom-properties" xmlns:vt="http://schemas.openxmlformats.org/officeDocument/2006/docPropsVTypes"/>
</file>